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20pt; height:15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  <w:spacing w:after="100"/>
      </w:pPr>
      <w:r>
        <w:rPr>
          <w:color w:val="0"/>
          <w:sz w:val="28"/>
          <w:szCs w:val="28"/>
          <w:b w:val="1"/>
          <w:bCs w:val="1"/>
        </w:rPr>
        <w:t xml:space="preserve">High Voltage Electrophoresis (HVE) Current Monitoring</w:t>
      </w:r>
    </w:p>
    <w:p>
      <w:pPr>
        <w:jc w:val="center"/>
      </w:pPr>
      <w:r>
        <w:pict>
          <v:shape id="_x0000_s1003" type="#_x0000_t32" style="width:536pt; height:0pt; margin-left:0pt; margin-top:0pt; mso-position-horizontal:left; mso-position-vertical:top; mso-position-horizontal-relative:char; mso-position-vertical-relative:line;">
            <w10:wrap type="inline"/>
            <v:stroke weight="1pt" color="0"/>
          </v:shape>
        </w:pict>
      </w:r>
    </w:p>
    <w:p>
      <w:pPr>
        <w:jc w:val="left"/>
      </w:pPr>
      <w:r>
        <w:rPr>
          <w:sz w:val="22"/>
          <w:szCs w:val="22"/>
          <w:b w:val="1"/>
          <w:bCs w:val="1"/>
        </w:rPr>
        <w:t xml:space="preserve">2023</w:t>
      </w:r>
    </w:p>
    <w:tbl>
      <w:tblGrid>
        <w:gridCol/>
        <w:gridCol/>
        <w:gridCol w:w="1000" w:type="dxa"/>
        <w:gridCol w:w="1000" w:type="dxa"/>
        <w:gridCol w:w="1000" w:type="dxa"/>
        <w:gridCol w:w="1000" w:type="dxa"/>
        <w:gridCol w:w="1000" w:type="dxa"/>
        <w:gridCol w:w="1000" w:type="dxa"/>
        <w:gridCol/>
      </w:tblGrid>
      <w:tblPr>
        <w:tblW w:w="500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  <w:tblBorders>
          <w:top w:val="single" w:sz="10" w:color="000000"/>
          <w:left w:val="single" w:sz="10" w:color="000000"/>
          <w:right w:val="single" w:sz="10" w:color="000000"/>
          <w:bottom w:val="single" w:sz="10" w:color="000000"/>
          <w:insideH w:val="single" w:sz="10" w:color="000000"/>
          <w:insideV w:val="single" w:sz="10" w:color="000000"/>
        </w:tblBorders>
      </w:tblPr>
      <w:tr>
        <w:trPr/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before="30" w:after="30"/>
            </w:pPr>
            <w:r>
              <w:rPr>
                <w:sz w:val="22"/>
                <w:szCs w:val="22"/>
                <w:b w:val="1"/>
                <w:bCs w:val="1"/>
              </w:rPr>
              <w:t xml:space="preserve">Date</w:t>
            </w:r>
          </w:p>
        </w:tc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before="30" w:after="30"/>
            </w:pPr>
            <w:r>
              <w:rPr>
                <w:sz w:val="22"/>
                <w:szCs w:val="22"/>
                <w:b w:val="1"/>
                <w:bCs w:val="1"/>
              </w:rPr>
              <w:t xml:space="preserve">User</w:t>
            </w:r>
          </w:p>
        </w:tc>
        <w:tc>
          <w:tcPr>
            <w:tcW w:w="3000" w:type="dxa"/>
            <w:vAlign w:val="center"/>
            <w:gridSpan w:val="3"/>
          </w:tcPr>
          <w:p>
            <w:pPr>
              <w:jc w:val="center"/>
              <w:spacing w:before="30" w:after="30"/>
            </w:pPr>
            <w:r>
              <w:rPr>
                <w:sz w:val="22"/>
                <w:szCs w:val="22"/>
                <w:b w:val="1"/>
                <w:bCs w:val="1"/>
              </w:rPr>
              <w:t xml:space="preserve">Start</w:t>
            </w:r>
          </w:p>
        </w:tc>
        <w:tc>
          <w:tcPr>
            <w:tcW w:w="3000" w:type="dxa"/>
            <w:vAlign w:val="center"/>
            <w:gridSpan w:val="3"/>
          </w:tcPr>
          <w:p>
            <w:pPr>
              <w:jc w:val="center"/>
              <w:spacing w:before="30" w:after="30"/>
            </w:pPr>
            <w:r>
              <w:rPr>
                <w:sz w:val="22"/>
                <w:szCs w:val="22"/>
                <w:b w:val="1"/>
                <w:bCs w:val="1"/>
              </w:rPr>
              <w:t xml:space="preserve">End</w:t>
            </w:r>
          </w:p>
        </w:tc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before="30" w:after="30"/>
            </w:pPr>
            <w:r>
              <w:rPr>
                <w:sz w:val="22"/>
                <w:szCs w:val="22"/>
                <w:b w:val="1"/>
                <w:bCs w:val="1"/>
              </w:rPr>
              <w:t xml:space="preserve">Remarks</w:t>
            </w:r>
          </w:p>
        </w:tc>
      </w:tr>
      <w:tr>
        <w:trPr/>
        <w:tc>
          <w:tcPr>
            <w:vAlign w:val="center"/>
            <w:vMerge w:val="continue"/>
          </w:tcPr>
          <w:p/>
        </w:tc>
        <w:tc>
          <w:tcPr>
            <w:vAlign w:val="center"/>
            <w:vMerge w:val="continue"/>
          </w:tcPr>
          <w:p/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2"/>
                <w:szCs w:val="22"/>
                <w:b w:val="1"/>
                <w:bCs w:val="1"/>
              </w:rPr>
              <w:t xml:space="preserve">mAmp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2"/>
                <w:szCs w:val="22"/>
                <w:b w:val="1"/>
                <w:bCs w:val="1"/>
              </w:rPr>
              <w:t xml:space="preserve">watts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2"/>
                <w:szCs w:val="22"/>
                <w:b w:val="1"/>
                <w:bCs w:val="1"/>
              </w:rPr>
              <w:t xml:space="preserve">volts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2"/>
                <w:szCs w:val="22"/>
                <w:b w:val="1"/>
                <w:bCs w:val="1"/>
              </w:rPr>
              <w:t xml:space="preserve">mAmp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2"/>
                <w:szCs w:val="22"/>
                <w:b w:val="1"/>
                <w:bCs w:val="1"/>
              </w:rPr>
              <w:t xml:space="preserve">watts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2"/>
                <w:szCs w:val="22"/>
                <w:b w:val="1"/>
                <w:bCs w:val="1"/>
              </w:rPr>
              <w:t xml:space="preserve">volts</w:t>
            </w:r>
          </w:p>
        </w:tc>
        <w:tc>
          <w:tcPr>
            <w:vAlign w:val="center"/>
            <w:vMerge w:val="continue"/>
          </w:tcPr>
          <w:p/>
        </w:tc>
      </w:tr>
      <w:tr>
        <w:trPr/>
        <w:tc>
          <w:tcPr>
            <w:tcW w:w="2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May 1, 2023</w:t>
            </w:r>
          </w:p>
        </w:tc>
        <w:tc>
          <w:tcPr>
            <w:tcW w:w="2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Adam Pacifico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123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123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12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124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500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16</w:t>
            </w:r>
          </w:p>
        </w:tc>
        <w:tc>
          <w:tcPr>
            <w:tcW w:w="2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May 2, 2023</w:t>
            </w:r>
          </w:p>
        </w:tc>
        <w:tc>
          <w:tcPr>
            <w:tcW w:w="2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Adam Pacifico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123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123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454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127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15</w:t>
            </w:r>
          </w:p>
        </w:tc>
        <w:tc>
          <w:tcPr>
            <w:tcW w:w="2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May 3, 2023</w:t>
            </w:r>
          </w:p>
        </w:tc>
        <w:tc>
          <w:tcPr>
            <w:tcW w:w="2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Christian Joseph Aquino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123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14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342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127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14</w:t>
            </w:r>
          </w:p>
        </w:tc>
        <w:tc>
          <w:tcPr>
            <w:tcW w:w="2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May 4, 2023</w:t>
            </w:r>
          </w:p>
        </w:tc>
        <w:tc>
          <w:tcPr>
            <w:tcW w:w="2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Christian Joseph Aquino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344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555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15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244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127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13</w:t>
            </w:r>
          </w:p>
        </w:tc>
        <w:tc>
          <w:tcPr>
            <w:tcW w:w="2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May 5, 2023</w:t>
            </w:r>
          </w:p>
        </w:tc>
        <w:tc>
          <w:tcPr>
            <w:tcW w:w="2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Clinical User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234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16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545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555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12</w:t>
            </w:r>
          </w:p>
        </w:tc>
        <w:tc>
          <w:tcPr>
            <w:tcW w:w="2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May 6, 2023</w:t>
            </w:r>
          </w:p>
        </w:tc>
        <w:tc>
          <w:tcPr>
            <w:tcW w:w="2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Clinical User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354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16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343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555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12</w:t>
            </w:r>
          </w:p>
        </w:tc>
        <w:tc>
          <w:tcPr>
            <w:tcW w:w="2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May 7, 2023</w:t>
            </w:r>
          </w:p>
        </w:tc>
        <w:tc>
          <w:tcPr>
            <w:tcW w:w="2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Edward Ang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232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15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123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555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13</w:t>
            </w:r>
          </w:p>
        </w:tc>
        <w:tc>
          <w:tcPr>
            <w:tcW w:w="2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May 8, 2023</w:t>
            </w:r>
          </w:p>
        </w:tc>
        <w:tc>
          <w:tcPr>
            <w:tcW w:w="2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Edward Ang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123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127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546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123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14</w:t>
            </w:r>
          </w:p>
        </w:tc>
        <w:tc>
          <w:tcPr>
            <w:tcW w:w="2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May 9, 2023</w:t>
            </w:r>
          </w:p>
        </w:tc>
        <w:tc>
          <w:tcPr>
            <w:tcW w:w="2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Edward Lao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234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127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234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123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15</w:t>
            </w:r>
          </w:p>
        </w:tc>
        <w:tc>
          <w:tcPr>
            <w:tcW w:w="2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May 10, 2023</w:t>
            </w:r>
          </w:p>
        </w:tc>
        <w:tc>
          <w:tcPr>
            <w:tcW w:w="2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Edward Lao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154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500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12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235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123</w:t>
            </w:r>
          </w:p>
        </w:tc>
        <w:tc>
          <w:tcPr>
            <w:tcW w:w="1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>16</w:t>
            </w:r>
          </w:p>
        </w:tc>
        <w:tc>
          <w:tcPr>
            <w:tcW w:w="2000" w:type="dxa"/>
          </w:tcPr>
          <w:p>
            <w:pPr>
              <w:jc w:val="center"/>
              <w:spacing w:before="30" w:after="30"/>
            </w:pPr>
            <w:r>
              <w:rPr>
                <w:sz w:val="20"/>
                <w:szCs w:val="20"/>
              </w:rPr>
              <w:t xml:space="preserve"/>
            </w:r>
          </w:p>
        </w:tc>
      </w:tr>
    </w:tbl>
    <w:p/>
    <w:p>
      <w:pPr>
        <w:jc w:val="center"/>
        <w:spacing w:before="0" w:after="0"/>
      </w:pPr>
      <w:r>
        <w:rPr>
          <w:b w:val="1"/>
          <w:bCs w:val="1"/>
        </w:rPr>
        <w:t xml:space="preserve">Current</w:t>
      </w:r>
    </w:p>
    <w:p>
      <w:r>
        <w:drawing>
          <wp:inline>
            <wp:extent cx="6400800" cy="3657600"/>
            <wp:docPr id="8" name="Chart8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/>
    <w:p>
      <w:pPr>
        <w:jc w:val="center"/>
        <w:spacing w:before="0" w:after="0"/>
      </w:pPr>
      <w:r>
        <w:rPr>
          <w:b w:val="1"/>
          <w:bCs w:val="1"/>
        </w:rPr>
        <w:t xml:space="preserve">Watts</w:t>
      </w:r>
    </w:p>
    <w:p>
      <w:r>
        <w:drawing>
          <wp:inline>
            <wp:extent cx="6400800" cy="3657600"/>
            <wp:docPr id="9" name="Chart9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/>
    <w:p>
      <w:pPr>
        <w:jc w:val="center"/>
        <w:spacing w:before="0" w:after="0"/>
      </w:pPr>
      <w:r>
        <w:rPr>
          <w:b w:val="1"/>
          <w:bCs w:val="1"/>
        </w:rPr>
        <w:t xml:space="preserve">Voltage</w:t>
      </w:r>
    </w:p>
    <w:p>
      <w:r>
        <w:drawing>
          <wp:inline>
            <wp:extent cx="6400800" cy="3657600"/>
            <wp:docPr id="10" name="Chart10"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>
      <w:pgSz w:orient="portrait" w:w="11905.511811023622" w:h="16837.79527559055"/>
      <w:pgMar w:top="200" w:right="600" w:bottom="3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chart" Target="charts/chart1.xml"/><Relationship Id="rId9" Type="http://schemas.openxmlformats.org/officeDocument/2006/relationships/chart" Target="charts/chart2.xml"/><Relationship Id="rId10" Type="http://schemas.openxmlformats.org/officeDocument/2006/relationships/chart" Target="charts/chart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lineChart>
        <c:varyColors val="0"/>
        <c:ser>
          <c:idx val="0"/>
          <c:order val="0"/>
          <c:tx>
            <c:strRef>
              <c:strCache>
                <c:ptCount val="1"/>
                <c:pt idx="0">
                  <c:v>Start</c:v>
                </c:pt>
              </c:strCache>
            </c:strRef>
          </c:tx>
          <c:dLbls>
            <c:showVal val="0"/>
            <c:showCatName val="0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10"/>
              <c:pt idx="0">
                <c:v>May 1, 2023</c:v>
              </c:pt>
              <c:pt idx="1">
                <c:v>May 2, 2023</c:v>
              </c:pt>
              <c:pt idx="2">
                <c:v>May 3, 2023</c:v>
              </c:pt>
              <c:pt idx="3">
                <c:v>May 4, 2023</c:v>
              </c:pt>
              <c:pt idx="4">
                <c:v>May 5, 2023</c:v>
              </c:pt>
              <c:pt idx="5">
                <c:v>May 6, 2023</c:v>
              </c:pt>
              <c:pt idx="6">
                <c:v>May 7, 2023</c:v>
              </c:pt>
              <c:pt idx="7">
                <c:v>May 8, 2023</c:v>
              </c:pt>
              <c:pt idx="8">
                <c:v>May 9, 2023</c:v>
              </c:pt>
              <c:pt idx="9">
                <c:v>May 10, 2023</c:v>
              </c:pt>
            </c:strLit>
          </c:cat>
          <c:val>
            <c:numLit>
              <c:ptCount val="10"/>
              <c:pt idx="0">
                <c:v>123</c:v>
              </c:pt>
              <c:pt idx="1">
                <c:v>123</c:v>
              </c:pt>
              <c:pt idx="2">
                <c:v/>
              </c:pt>
              <c:pt idx="3">
                <c:v>344</c:v>
              </c:pt>
              <c:pt idx="4">
                <c:v>234</c:v>
              </c:pt>
              <c:pt idx="5">
                <c:v>354</c:v>
              </c:pt>
              <c:pt idx="6">
                <c:v>232</c:v>
              </c:pt>
              <c:pt idx="7">
                <c:v>123</c:v>
              </c:pt>
              <c:pt idx="8">
                <c:v>234</c:v>
              </c:pt>
              <c:pt idx="9">
                <c:v>154</c:v>
              </c:pt>
            </c:numLit>
          </c:val>
        </c:ser>
        <c:ser>
          <c:idx val="1"/>
          <c:order val="1"/>
          <c:tx>
            <c:strRef>
              <c:strCache>
                <c:ptCount val="1"/>
                <c:pt idx="0">
                  <c:v>End</c:v>
                </c:pt>
              </c:strCache>
            </c:strRef>
          </c:tx>
          <c:dLbls>
            <c:showVal val="0"/>
            <c:showCatName val="0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10"/>
              <c:pt idx="0">
                <c:v>May 1, 2023</c:v>
              </c:pt>
              <c:pt idx="1">
                <c:v>May 2, 2023</c:v>
              </c:pt>
              <c:pt idx="2">
                <c:v>May 3, 2023</c:v>
              </c:pt>
              <c:pt idx="3">
                <c:v>May 4, 2023</c:v>
              </c:pt>
              <c:pt idx="4">
                <c:v>May 5, 2023</c:v>
              </c:pt>
              <c:pt idx="5">
                <c:v>May 6, 2023</c:v>
              </c:pt>
              <c:pt idx="6">
                <c:v>May 7, 2023</c:v>
              </c:pt>
              <c:pt idx="7">
                <c:v>May 8, 2023</c:v>
              </c:pt>
              <c:pt idx="8">
                <c:v>May 9, 2023</c:v>
              </c:pt>
              <c:pt idx="9">
                <c:v>May 10, 2023</c:v>
              </c:pt>
            </c:strLit>
          </c:cat>
          <c:val>
            <c:numLit>
              <c:ptCount val="10"/>
              <c:pt idx="0">
                <c:v>124</c:v>
              </c:pt>
              <c:pt idx="1">
                <c:v>454</c:v>
              </c:pt>
              <c:pt idx="2">
                <c:v>342</c:v>
              </c:pt>
              <c:pt idx="3">
                <c:v>244</c:v>
              </c:pt>
              <c:pt idx="4">
                <c:v>545</c:v>
              </c:pt>
              <c:pt idx="5">
                <c:v>343</c:v>
              </c:pt>
              <c:pt idx="6">
                <c:v>123</c:v>
              </c:pt>
              <c:pt idx="7">
                <c:v>546</c:v>
              </c:pt>
              <c:pt idx="8">
                <c:v>234</c:v>
              </c:pt>
              <c:pt idx="9">
                <c:v>235</c:v>
              </c:pt>
            </c:numLit>
          </c:val>
        </c:ser>
        <c:ser>
          <c:idx val="2"/>
          <c:order val="2"/>
          <c:tx>
            <c:strRef>
              <c:strCache>
                <c:ptCount val="1"/>
                <c:pt idx="0">
                  <c:v>Mean</c:v>
                </c:pt>
              </c:strCache>
            </c:strRef>
          </c:tx>
          <c:dLbls>
            <c:showVal val="0"/>
            <c:showCatName val="0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1"/>
              <c:pt idx="0">
                <c:v>Mean</c:v>
              </c:pt>
            </c:strLit>
          </c:cat>
          <c:val>
            <c:numLit>
              <c:ptCount val="10"/>
              <c:pt idx="0">
                <c:v>269.000</c:v>
              </c:pt>
              <c:pt idx="1">
                <c:v>269.000</c:v>
              </c:pt>
              <c:pt idx="2">
                <c:v>269.000</c:v>
              </c:pt>
              <c:pt idx="3">
                <c:v>269.000</c:v>
              </c:pt>
              <c:pt idx="4">
                <c:v>269.000</c:v>
              </c:pt>
              <c:pt idx="5">
                <c:v>269.000</c:v>
              </c:pt>
              <c:pt idx="6">
                <c:v>269.000</c:v>
              </c:pt>
              <c:pt idx="7">
                <c:v>269.000</c:v>
              </c:pt>
              <c:pt idx="8">
                <c:v>269.000</c:v>
              </c:pt>
              <c:pt idx="9">
                <c:v>269.000</c:v>
              </c:pt>
            </c:numLit>
          </c:val>
        </c:ser>
        <c:ser>
          <c:idx val="3"/>
          <c:order val="3"/>
          <c:tx>
            <c:strRef>
              <c:strCache>
                <c:ptCount val="1"/>
                <c:pt idx="0">
                  <c:v>SD</c:v>
                </c:pt>
              </c:strCache>
            </c:strRef>
          </c:tx>
          <c:dLbls>
            <c:showVal val="0"/>
            <c:showCatName val="0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1"/>
              <c:pt idx="0">
                <c:v>SD</c:v>
              </c:pt>
            </c:strLit>
          </c:cat>
          <c:val>
            <c:numLit>
              <c:ptCount val="10"/>
              <c:pt idx="0">
                <c:v>136.85434268</c:v>
              </c:pt>
              <c:pt idx="1">
                <c:v>136.85434268</c:v>
              </c:pt>
              <c:pt idx="2">
                <c:v>136.85434268</c:v>
              </c:pt>
              <c:pt idx="3">
                <c:v>136.85434268</c:v>
              </c:pt>
              <c:pt idx="4">
                <c:v>136.85434268</c:v>
              </c:pt>
              <c:pt idx="5">
                <c:v>136.85434268</c:v>
              </c:pt>
              <c:pt idx="6">
                <c:v>136.85434268</c:v>
              </c:pt>
              <c:pt idx="7">
                <c:v>136.85434268</c:v>
              </c:pt>
              <c:pt idx="8">
                <c:v>136.85434268</c:v>
              </c:pt>
              <c:pt idx="9">
                <c:v>136.85434268</c:v>
              </c:pt>
            </c:numLit>
          </c:val>
        </c:ser>
        <c:ser>
          <c:idx val="4"/>
          <c:order val="4"/>
          <c:tx>
            <c:strRef>
              <c:strCache>
                <c:ptCount val="1"/>
                <c:pt idx="0">
                  <c:v>+2SD</c:v>
                </c:pt>
              </c:strCache>
            </c:strRef>
          </c:tx>
          <c:dLbls>
            <c:showVal val="0"/>
            <c:showCatName val="0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1"/>
              <c:pt idx="0">
                <c:v>+2SD</c:v>
              </c:pt>
            </c:strLit>
          </c:cat>
          <c:val>
            <c:numLit>
              <c:ptCount val="10"/>
              <c:pt idx="0">
                <c:v>542.70868537</c:v>
              </c:pt>
              <c:pt idx="1">
                <c:v>542.70868537</c:v>
              </c:pt>
              <c:pt idx="2">
                <c:v>542.70868537</c:v>
              </c:pt>
              <c:pt idx="3">
                <c:v>542.70868537</c:v>
              </c:pt>
              <c:pt idx="4">
                <c:v>542.70868537</c:v>
              </c:pt>
              <c:pt idx="5">
                <c:v>542.70868537</c:v>
              </c:pt>
              <c:pt idx="6">
                <c:v>542.70868537</c:v>
              </c:pt>
              <c:pt idx="7">
                <c:v>542.70868537</c:v>
              </c:pt>
              <c:pt idx="8">
                <c:v>542.70868537</c:v>
              </c:pt>
              <c:pt idx="9">
                <c:v>542.70868537</c:v>
              </c:pt>
            </c:numLit>
          </c:val>
        </c:ser>
        <c:ser>
          <c:idx val="5"/>
          <c:order val="5"/>
          <c:tx>
            <c:strRef>
              <c:strCache>
                <c:ptCount val="1"/>
                <c:pt idx="0">
                  <c:v>+3SD</c:v>
                </c:pt>
              </c:strCache>
            </c:strRef>
          </c:tx>
          <c:dLbls>
            <c:showVal val="0"/>
            <c:showCatName val="0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1"/>
              <c:pt idx="0">
                <c:v>+3SD</c:v>
              </c:pt>
            </c:strLit>
          </c:cat>
          <c:val>
            <c:numLit>
              <c:ptCount val="10"/>
              <c:pt idx="0">
                <c:v>679.56302805</c:v>
              </c:pt>
              <c:pt idx="1">
                <c:v>679.56302805</c:v>
              </c:pt>
              <c:pt idx="2">
                <c:v>679.56302805</c:v>
              </c:pt>
              <c:pt idx="3">
                <c:v>679.56302805</c:v>
              </c:pt>
              <c:pt idx="4">
                <c:v>679.56302805</c:v>
              </c:pt>
              <c:pt idx="5">
                <c:v>679.56302805</c:v>
              </c:pt>
              <c:pt idx="6">
                <c:v>679.56302805</c:v>
              </c:pt>
              <c:pt idx="7">
                <c:v>679.56302805</c:v>
              </c:pt>
              <c:pt idx="8">
                <c:v>679.56302805</c:v>
              </c:pt>
              <c:pt idx="9">
                <c:v>679.56302805</c:v>
              </c:pt>
            </c:numLit>
          </c:val>
        </c:ser>
        <c:ser>
          <c:idx val="6"/>
          <c:order val="6"/>
          <c:tx>
            <c:strRef>
              <c:strCache>
                <c:ptCount val="1"/>
                <c:pt idx="0">
                  <c:v>-3SD</c:v>
                </c:pt>
              </c:strCache>
            </c:strRef>
          </c:tx>
          <c:dLbls>
            <c:showVal val="0"/>
            <c:showCatName val="0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1"/>
              <c:pt idx="0">
                <c:v>-3SD</c:v>
              </c:pt>
            </c:strLit>
          </c:cat>
          <c:val>
            <c:numLit>
              <c:ptCount val="10"/>
              <c:pt idx="0">
                <c:v>-141.56302805</c:v>
              </c:pt>
              <c:pt idx="1">
                <c:v>-141.56302805</c:v>
              </c:pt>
              <c:pt idx="2">
                <c:v>-141.56302805</c:v>
              </c:pt>
              <c:pt idx="3">
                <c:v>-141.56302805</c:v>
              </c:pt>
              <c:pt idx="4">
                <c:v>-141.56302805</c:v>
              </c:pt>
              <c:pt idx="5">
                <c:v>-141.56302805</c:v>
              </c:pt>
              <c:pt idx="6">
                <c:v>-141.56302805</c:v>
              </c:pt>
              <c:pt idx="7">
                <c:v>-141.56302805</c:v>
              </c:pt>
              <c:pt idx="8">
                <c:v>-141.56302805</c:v>
              </c:pt>
              <c:pt idx="9">
                <c:v>-141.56302805</c:v>
              </c:pt>
            </c:numLit>
          </c:val>
        </c:ser>
        <c:ser>
          <c:idx val="7"/>
          <c:order val="7"/>
          <c:tx>
            <c:strRef>
              <c:strCache>
                <c:ptCount val="1"/>
                <c:pt idx="0">
                  <c:v>-2SD</c:v>
                </c:pt>
              </c:strCache>
            </c:strRef>
          </c:tx>
          <c:dLbls>
            <c:showVal val="0"/>
            <c:showCatName val="0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1"/>
              <c:pt idx="0">
                <c:v>-2SD</c:v>
              </c:pt>
            </c:strLit>
          </c:cat>
          <c:val>
            <c:numLit>
              <c:ptCount val="10"/>
              <c:pt idx="0">
                <c:v>-4.70868537</c:v>
              </c:pt>
              <c:pt idx="1">
                <c:v>-4.70868537</c:v>
              </c:pt>
              <c:pt idx="2">
                <c:v>-4.70868537</c:v>
              </c:pt>
              <c:pt idx="3">
                <c:v>-4.70868537</c:v>
              </c:pt>
              <c:pt idx="4">
                <c:v>-4.70868537</c:v>
              </c:pt>
              <c:pt idx="5">
                <c:v>-4.70868537</c:v>
              </c:pt>
              <c:pt idx="6">
                <c:v>-4.70868537</c:v>
              </c:pt>
              <c:pt idx="7">
                <c:v>-4.70868537</c:v>
              </c:pt>
              <c:pt idx="8">
                <c:v>-4.70868537</c:v>
              </c:pt>
              <c:pt idx="9">
                <c:v>-4.70868537</c:v>
              </c:pt>
            </c:numLit>
          </c:val>
        </c:ser>
        <c:overlap val="100"/>
        <c:axId val="1"/>
        <c:axId val="2"/>
      </c:lineChart>
      <c:catAx>
        <c:axId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Date</a:t>
                </a:r>
              </a:p>
            </c:rich>
          </c:tx>
          <c:overlay val="0"/>
        </c:title>
        <c:crossAx val="2"/>
        <c:auto val="1"/>
        <c:delete val="0"/>
        <c:majorTickMark val="none"/>
        <c:minorTickMark val="none"/>
        <c:tickLblPos val="low"/>
        <c:crosses val="autoZero"/>
        <c:majorGridlines/>
        <c:scaling>
          <c:orientation val="minMax"/>
        </c:scaling>
        <c:spPr>
          <a:ln>
            <a:solidFill/>
          </a:ln>
        </c:spPr>
      </c:catAx>
      <c:valAx>
        <c:axId val="2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mAmp</a:t>
                </a:r>
              </a:p>
            </c:rich>
          </c:tx>
          <c:overlay val="0"/>
        </c:title>
        <c:crossAx val="1"/>
        <c:auto val="1"/>
        <c:delete val="0"/>
        <c:majorTickMark val="none"/>
        <c:minorTickMark val="none"/>
        <c:tickLblPos val="nextTo"/>
        <c:crosses val="autoZero"/>
        <c:majorGridlines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lineChart>
        <c:varyColors val="0"/>
        <c:ser>
          <c:idx val="0"/>
          <c:order val="0"/>
          <c:tx>
            <c:strRef>
              <c:strCache>
                <c:ptCount val="1"/>
                <c:pt idx="0">
                  <c:v>Start</c:v>
                </c:pt>
              </c:strCache>
            </c:strRef>
          </c:tx>
          <c:dLbls>
            <c:showVal val="0"/>
            <c:showCatName val="0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10"/>
              <c:pt idx="0">
                <c:v>May 1, 2023</c:v>
              </c:pt>
              <c:pt idx="1">
                <c:v>May 2, 2023</c:v>
              </c:pt>
              <c:pt idx="2">
                <c:v>May 3, 2023</c:v>
              </c:pt>
              <c:pt idx="3">
                <c:v>May 4, 2023</c:v>
              </c:pt>
              <c:pt idx="4">
                <c:v>May 5, 2023</c:v>
              </c:pt>
              <c:pt idx="5">
                <c:v>May 6, 2023</c:v>
              </c:pt>
              <c:pt idx="6">
                <c:v>May 7, 2023</c:v>
              </c:pt>
              <c:pt idx="7">
                <c:v>May 8, 2023</c:v>
              </c:pt>
              <c:pt idx="8">
                <c:v>May 9, 2023</c:v>
              </c:pt>
              <c:pt idx="9">
                <c:v>May 10, 2023</c:v>
              </c:pt>
            </c:strLit>
          </c:cat>
          <c:val>
            <c:numLit>
              <c:ptCount val="10"/>
              <c:pt idx="0">
                <c:v>123</c:v>
              </c:pt>
              <c:pt idx="1">
                <c:v>123</c:v>
              </c:pt>
              <c:pt idx="2">
                <c:v>123</c:v>
              </c:pt>
              <c:pt idx="3">
                <c:v>555</c:v>
              </c:pt>
              <c:pt idx="4">
                <c:v/>
              </c:pt>
              <c:pt idx="5">
                <c:v/>
              </c:pt>
              <c:pt idx="6">
                <c:v/>
              </c:pt>
              <c:pt idx="7">
                <c:v>127</c:v>
              </c:pt>
              <c:pt idx="8">
                <c:v>127</c:v>
              </c:pt>
              <c:pt idx="9">
                <c:v>500</c:v>
              </c:pt>
            </c:numLit>
          </c:val>
        </c:ser>
        <c:ser>
          <c:idx val="1"/>
          <c:order val="1"/>
          <c:tx>
            <c:strRef>
              <c:strCache>
                <c:ptCount val="1"/>
                <c:pt idx="0">
                  <c:v>End</c:v>
                </c:pt>
              </c:strCache>
            </c:strRef>
          </c:tx>
          <c:dLbls>
            <c:showVal val="0"/>
            <c:showCatName val="0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10"/>
              <c:pt idx="0">
                <c:v>May 1, 2023</c:v>
              </c:pt>
              <c:pt idx="1">
                <c:v>May 2, 2023</c:v>
              </c:pt>
              <c:pt idx="2">
                <c:v>May 3, 2023</c:v>
              </c:pt>
              <c:pt idx="3">
                <c:v>May 4, 2023</c:v>
              </c:pt>
              <c:pt idx="4">
                <c:v>May 5, 2023</c:v>
              </c:pt>
              <c:pt idx="5">
                <c:v>May 6, 2023</c:v>
              </c:pt>
              <c:pt idx="6">
                <c:v>May 7, 2023</c:v>
              </c:pt>
              <c:pt idx="7">
                <c:v>May 8, 2023</c:v>
              </c:pt>
              <c:pt idx="8">
                <c:v>May 9, 2023</c:v>
              </c:pt>
              <c:pt idx="9">
                <c:v>May 10, 2023</c:v>
              </c:pt>
            </c:strLit>
          </c:cat>
          <c:val>
            <c:numLit>
              <c:ptCount val="10"/>
              <c:pt idx="0">
                <c:v>500</c:v>
              </c:pt>
              <c:pt idx="1">
                <c:v>127</c:v>
              </c:pt>
              <c:pt idx="2">
                <c:v>127</c:v>
              </c:pt>
              <c:pt idx="3">
                <c:v>127</c:v>
              </c:pt>
              <c:pt idx="4">
                <c:v>555</c:v>
              </c:pt>
              <c:pt idx="5">
                <c:v>555</c:v>
              </c:pt>
              <c:pt idx="6">
                <c:v>555</c:v>
              </c:pt>
              <c:pt idx="7">
                <c:v>123</c:v>
              </c:pt>
              <c:pt idx="8">
                <c:v>123</c:v>
              </c:pt>
              <c:pt idx="9">
                <c:v>123</c:v>
              </c:pt>
            </c:numLit>
          </c:val>
        </c:ser>
        <c:ser>
          <c:idx val="2"/>
          <c:order val="2"/>
          <c:tx>
            <c:strRef>
              <c:strCache>
                <c:ptCount val="1"/>
                <c:pt idx="0">
                  <c:v>Mean</c:v>
                </c:pt>
              </c:strCache>
            </c:strRef>
          </c:tx>
          <c:dLbls>
            <c:showVal val="0"/>
            <c:showCatName val="0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1"/>
              <c:pt idx="0">
                <c:v>Mean</c:v>
              </c:pt>
            </c:strLit>
          </c:cat>
          <c:val>
            <c:numLit>
              <c:ptCount val="10"/>
              <c:pt idx="0">
                <c:v>270.176</c:v>
              </c:pt>
              <c:pt idx="1">
                <c:v>270.176</c:v>
              </c:pt>
              <c:pt idx="2">
                <c:v>270.176</c:v>
              </c:pt>
              <c:pt idx="3">
                <c:v>270.176</c:v>
              </c:pt>
              <c:pt idx="4">
                <c:v>270.176</c:v>
              </c:pt>
              <c:pt idx="5">
                <c:v>270.176</c:v>
              </c:pt>
              <c:pt idx="6">
                <c:v>270.176</c:v>
              </c:pt>
              <c:pt idx="7">
                <c:v>270.176</c:v>
              </c:pt>
              <c:pt idx="8">
                <c:v>270.176</c:v>
              </c:pt>
              <c:pt idx="9">
                <c:v>270.176</c:v>
              </c:pt>
            </c:numLit>
          </c:val>
        </c:ser>
        <c:ser>
          <c:idx val="3"/>
          <c:order val="3"/>
          <c:tx>
            <c:strRef>
              <c:strCache>
                <c:ptCount val="1"/>
                <c:pt idx="0">
                  <c:v>SD</c:v>
                </c:pt>
              </c:strCache>
            </c:strRef>
          </c:tx>
          <c:dLbls>
            <c:showVal val="0"/>
            <c:showCatName val="0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1"/>
              <c:pt idx="0">
                <c:v>SD</c:v>
              </c:pt>
            </c:strLit>
          </c:cat>
          <c:val>
            <c:numLit>
              <c:ptCount val="10"/>
              <c:pt idx="0">
                <c:v>203.50037939</c:v>
              </c:pt>
              <c:pt idx="1">
                <c:v>203.50037939</c:v>
              </c:pt>
              <c:pt idx="2">
                <c:v>203.50037939</c:v>
              </c:pt>
              <c:pt idx="3">
                <c:v>203.50037939</c:v>
              </c:pt>
              <c:pt idx="4">
                <c:v>203.50037939</c:v>
              </c:pt>
              <c:pt idx="5">
                <c:v>203.50037939</c:v>
              </c:pt>
              <c:pt idx="6">
                <c:v>203.50037939</c:v>
              </c:pt>
              <c:pt idx="7">
                <c:v>203.50037939</c:v>
              </c:pt>
              <c:pt idx="8">
                <c:v>203.50037939</c:v>
              </c:pt>
              <c:pt idx="9">
                <c:v>203.50037939</c:v>
              </c:pt>
            </c:numLit>
          </c:val>
        </c:ser>
        <c:ser>
          <c:idx val="4"/>
          <c:order val="4"/>
          <c:tx>
            <c:strRef>
              <c:strCache>
                <c:ptCount val="1"/>
                <c:pt idx="0">
                  <c:v>+2SD</c:v>
                </c:pt>
              </c:strCache>
            </c:strRef>
          </c:tx>
          <c:dLbls>
            <c:showVal val="0"/>
            <c:showCatName val="0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1"/>
              <c:pt idx="0">
                <c:v>+2SD</c:v>
              </c:pt>
            </c:strLit>
          </c:cat>
          <c:val>
            <c:numLit>
              <c:ptCount val="10"/>
              <c:pt idx="0">
                <c:v>677.17722937</c:v>
              </c:pt>
              <c:pt idx="1">
                <c:v>677.17722937</c:v>
              </c:pt>
              <c:pt idx="2">
                <c:v>677.17722937</c:v>
              </c:pt>
              <c:pt idx="3">
                <c:v>677.17722937</c:v>
              </c:pt>
              <c:pt idx="4">
                <c:v>677.17722937</c:v>
              </c:pt>
              <c:pt idx="5">
                <c:v>677.17722937</c:v>
              </c:pt>
              <c:pt idx="6">
                <c:v>677.17722937</c:v>
              </c:pt>
              <c:pt idx="7">
                <c:v>677.17722937</c:v>
              </c:pt>
              <c:pt idx="8">
                <c:v>677.17722937</c:v>
              </c:pt>
              <c:pt idx="9">
                <c:v>677.17722937</c:v>
              </c:pt>
            </c:numLit>
          </c:val>
        </c:ser>
        <c:ser>
          <c:idx val="5"/>
          <c:order val="5"/>
          <c:tx>
            <c:strRef>
              <c:strCache>
                <c:ptCount val="1"/>
                <c:pt idx="0">
                  <c:v>+3SD</c:v>
                </c:pt>
              </c:strCache>
            </c:strRef>
          </c:tx>
          <c:dLbls>
            <c:showVal val="0"/>
            <c:showCatName val="0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1"/>
              <c:pt idx="0">
                <c:v>+3SD</c:v>
              </c:pt>
            </c:strLit>
          </c:cat>
          <c:val>
            <c:numLit>
              <c:ptCount val="10"/>
              <c:pt idx="0">
                <c:v>880.67760876</c:v>
              </c:pt>
              <c:pt idx="1">
                <c:v>880.67760876</c:v>
              </c:pt>
              <c:pt idx="2">
                <c:v>880.67760876</c:v>
              </c:pt>
              <c:pt idx="3">
                <c:v>880.67760876</c:v>
              </c:pt>
              <c:pt idx="4">
                <c:v>880.67760876</c:v>
              </c:pt>
              <c:pt idx="5">
                <c:v>880.67760876</c:v>
              </c:pt>
              <c:pt idx="6">
                <c:v>880.67760876</c:v>
              </c:pt>
              <c:pt idx="7">
                <c:v>880.67760876</c:v>
              </c:pt>
              <c:pt idx="8">
                <c:v>880.67760876</c:v>
              </c:pt>
              <c:pt idx="9">
                <c:v>880.67760876</c:v>
              </c:pt>
            </c:numLit>
          </c:val>
        </c:ser>
        <c:ser>
          <c:idx val="6"/>
          <c:order val="6"/>
          <c:tx>
            <c:strRef>
              <c:strCache>
                <c:ptCount val="1"/>
                <c:pt idx="0">
                  <c:v>-3SD</c:v>
                </c:pt>
              </c:strCache>
            </c:strRef>
          </c:tx>
          <c:dLbls>
            <c:showVal val="0"/>
            <c:showCatName val="0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1"/>
              <c:pt idx="0">
                <c:v>-3SD</c:v>
              </c:pt>
            </c:strLit>
          </c:cat>
          <c:val>
            <c:numLit>
              <c:ptCount val="10"/>
              <c:pt idx="0">
                <c:v>-340.32466758</c:v>
              </c:pt>
              <c:pt idx="1">
                <c:v>-340.32466758</c:v>
              </c:pt>
              <c:pt idx="2">
                <c:v>-340.32466758</c:v>
              </c:pt>
              <c:pt idx="3">
                <c:v>-340.32466758</c:v>
              </c:pt>
              <c:pt idx="4">
                <c:v>-340.32466758</c:v>
              </c:pt>
              <c:pt idx="5">
                <c:v>-340.32466758</c:v>
              </c:pt>
              <c:pt idx="6">
                <c:v>-340.32466758</c:v>
              </c:pt>
              <c:pt idx="7">
                <c:v>-340.32466758</c:v>
              </c:pt>
              <c:pt idx="8">
                <c:v>-340.32466758</c:v>
              </c:pt>
              <c:pt idx="9">
                <c:v>-340.32466758</c:v>
              </c:pt>
            </c:numLit>
          </c:val>
        </c:ser>
        <c:ser>
          <c:idx val="7"/>
          <c:order val="7"/>
          <c:tx>
            <c:strRef>
              <c:strCache>
                <c:ptCount val="1"/>
                <c:pt idx="0">
                  <c:v>-2SD</c:v>
                </c:pt>
              </c:strCache>
            </c:strRef>
          </c:tx>
          <c:dLbls>
            <c:showVal val="0"/>
            <c:showCatName val="0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1"/>
              <c:pt idx="0">
                <c:v>-2SD</c:v>
              </c:pt>
            </c:strLit>
          </c:cat>
          <c:val>
            <c:numLit>
              <c:ptCount val="10"/>
              <c:pt idx="0">
                <c:v>-136.82428819</c:v>
              </c:pt>
              <c:pt idx="1">
                <c:v>-136.82428819</c:v>
              </c:pt>
              <c:pt idx="2">
                <c:v>-136.82428819</c:v>
              </c:pt>
              <c:pt idx="3">
                <c:v>-136.82428819</c:v>
              </c:pt>
              <c:pt idx="4">
                <c:v>-136.82428819</c:v>
              </c:pt>
              <c:pt idx="5">
                <c:v>-136.82428819</c:v>
              </c:pt>
              <c:pt idx="6">
                <c:v>-136.82428819</c:v>
              </c:pt>
              <c:pt idx="7">
                <c:v>-136.82428819</c:v>
              </c:pt>
              <c:pt idx="8">
                <c:v>-136.82428819</c:v>
              </c:pt>
              <c:pt idx="9">
                <c:v>-136.82428819</c:v>
              </c:pt>
            </c:numLit>
          </c:val>
        </c:ser>
        <c:overlap val="100"/>
        <c:axId val="1"/>
        <c:axId val="2"/>
      </c:lineChart>
      <c:catAx>
        <c:axId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Date</a:t>
                </a:r>
              </a:p>
            </c:rich>
          </c:tx>
          <c:overlay val="0"/>
        </c:title>
        <c:crossAx val="2"/>
        <c:auto val="1"/>
        <c:delete val="0"/>
        <c:majorTickMark val="none"/>
        <c:minorTickMark val="none"/>
        <c:tickLblPos val="low"/>
        <c:crosses val="autoZero"/>
        <c:majorGridlines/>
        <c:scaling>
          <c:orientation val="minMax"/>
        </c:scaling>
        <c:spPr>
          <a:ln>
            <a:solidFill/>
          </a:ln>
        </c:spPr>
      </c:catAx>
      <c:valAx>
        <c:axId val="2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watts</a:t>
                </a:r>
              </a:p>
            </c:rich>
          </c:tx>
          <c:overlay val="0"/>
        </c:title>
        <c:crossAx val="1"/>
        <c:auto val="1"/>
        <c:delete val="0"/>
        <c:majorTickMark val="none"/>
        <c:minorTickMark val="none"/>
        <c:tickLblPos val="nextTo"/>
        <c:crosses val="autoZero"/>
        <c:majorGridlines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chart>
    <c:autoTitleDeleted val="1"/>
    <c:plotArea>
      <c:layout/>
      <c:lineChart>
        <c:varyColors val="0"/>
        <c:ser>
          <c:idx val="0"/>
          <c:order val="0"/>
          <c:tx>
            <c:strRef>
              <c:strCache>
                <c:ptCount val="1"/>
                <c:pt idx="0">
                  <c:v>Start</c:v>
                </c:pt>
              </c:strCache>
            </c:strRef>
          </c:tx>
          <c:dLbls>
            <c:showVal val="0"/>
            <c:showCatName val="0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10"/>
              <c:pt idx="0">
                <c:v>May 1, 2023</c:v>
              </c:pt>
              <c:pt idx="1">
                <c:v>May 2, 2023</c:v>
              </c:pt>
              <c:pt idx="2">
                <c:v>May 3, 2023</c:v>
              </c:pt>
              <c:pt idx="3">
                <c:v>May 4, 2023</c:v>
              </c:pt>
              <c:pt idx="4">
                <c:v>May 5, 2023</c:v>
              </c:pt>
              <c:pt idx="5">
                <c:v>May 6, 2023</c:v>
              </c:pt>
              <c:pt idx="6">
                <c:v>May 7, 2023</c:v>
              </c:pt>
              <c:pt idx="7">
                <c:v>May 8, 2023</c:v>
              </c:pt>
              <c:pt idx="8">
                <c:v>May 9, 2023</c:v>
              </c:pt>
              <c:pt idx="9">
                <c:v>May 10, 2023</c:v>
              </c:pt>
            </c:strLit>
          </c:cat>
          <c:val>
            <c:numLit>
              <c:ptCount val="10"/>
              <c:pt idx="0">
                <c:v>12</c:v>
              </c:pt>
              <c:pt idx="1">
                <c:v/>
              </c:pt>
              <c:pt idx="2">
                <c:v>14</c:v>
              </c:pt>
              <c:pt idx="3">
                <c:v>15</c:v>
              </c:pt>
              <c:pt idx="4">
                <c:v>16</c:v>
              </c:pt>
              <c:pt idx="5">
                <c:v>16</c:v>
              </c:pt>
              <c:pt idx="6">
                <c:v>15</c:v>
              </c:pt>
              <c:pt idx="7">
                <c:v/>
              </c:pt>
              <c:pt idx="8">
                <c:v/>
              </c:pt>
              <c:pt idx="9">
                <c:v>12</c:v>
              </c:pt>
            </c:numLit>
          </c:val>
        </c:ser>
        <c:ser>
          <c:idx val="1"/>
          <c:order val="1"/>
          <c:tx>
            <c:strRef>
              <c:strCache>
                <c:ptCount val="1"/>
                <c:pt idx="0">
                  <c:v>End</c:v>
                </c:pt>
              </c:strCache>
            </c:strRef>
          </c:tx>
          <c:dLbls>
            <c:showVal val="0"/>
            <c:showCatName val="0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10"/>
              <c:pt idx="0">
                <c:v>May 1, 2023</c:v>
              </c:pt>
              <c:pt idx="1">
                <c:v>May 2, 2023</c:v>
              </c:pt>
              <c:pt idx="2">
                <c:v>May 3, 2023</c:v>
              </c:pt>
              <c:pt idx="3">
                <c:v>May 4, 2023</c:v>
              </c:pt>
              <c:pt idx="4">
                <c:v>May 5, 2023</c:v>
              </c:pt>
              <c:pt idx="5">
                <c:v>May 6, 2023</c:v>
              </c:pt>
              <c:pt idx="6">
                <c:v>May 7, 2023</c:v>
              </c:pt>
              <c:pt idx="7">
                <c:v>May 8, 2023</c:v>
              </c:pt>
              <c:pt idx="8">
                <c:v>May 9, 2023</c:v>
              </c:pt>
              <c:pt idx="9">
                <c:v>May 10, 2023</c:v>
              </c:pt>
            </c:strLit>
          </c:cat>
          <c:val>
            <c:numLit>
              <c:ptCount val="10"/>
              <c:pt idx="0">
                <c:v>16</c:v>
              </c:pt>
              <c:pt idx="1">
                <c:v>15</c:v>
              </c:pt>
              <c:pt idx="2">
                <c:v>14</c:v>
              </c:pt>
              <c:pt idx="3">
                <c:v>13</c:v>
              </c:pt>
              <c:pt idx="4">
                <c:v>12</c:v>
              </c:pt>
              <c:pt idx="5">
                <c:v>12</c:v>
              </c:pt>
              <c:pt idx="6">
                <c:v>13</c:v>
              </c:pt>
              <c:pt idx="7">
                <c:v>14</c:v>
              </c:pt>
              <c:pt idx="8">
                <c:v>15</c:v>
              </c:pt>
              <c:pt idx="9">
                <c:v>16</c:v>
              </c:pt>
            </c:numLit>
          </c:val>
        </c:ser>
        <c:ser>
          <c:idx val="2"/>
          <c:order val="2"/>
          <c:tx>
            <c:strRef>
              <c:strCache>
                <c:ptCount val="1"/>
                <c:pt idx="0">
                  <c:v>Mean</c:v>
                </c:pt>
              </c:strCache>
            </c:strRef>
          </c:tx>
          <c:dLbls>
            <c:showVal val="0"/>
            <c:showCatName val="0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1"/>
              <c:pt idx="0">
                <c:v>Mean</c:v>
              </c:pt>
            </c:strLit>
          </c:cat>
          <c:val>
            <c:numLit>
              <c:ptCount val="10"/>
              <c:pt idx="0">
                <c:v>14.118</c:v>
              </c:pt>
              <c:pt idx="1">
                <c:v>14.118</c:v>
              </c:pt>
              <c:pt idx="2">
                <c:v>14.118</c:v>
              </c:pt>
              <c:pt idx="3">
                <c:v>14.118</c:v>
              </c:pt>
              <c:pt idx="4">
                <c:v>14.118</c:v>
              </c:pt>
              <c:pt idx="5">
                <c:v>14.118</c:v>
              </c:pt>
              <c:pt idx="6">
                <c:v>14.118</c:v>
              </c:pt>
              <c:pt idx="7">
                <c:v>14.118</c:v>
              </c:pt>
              <c:pt idx="8">
                <c:v>14.118</c:v>
              </c:pt>
              <c:pt idx="9">
                <c:v>14.118</c:v>
              </c:pt>
            </c:numLit>
          </c:val>
        </c:ser>
        <c:ser>
          <c:idx val="3"/>
          <c:order val="3"/>
          <c:tx>
            <c:strRef>
              <c:strCache>
                <c:ptCount val="1"/>
                <c:pt idx="0">
                  <c:v>SD</c:v>
                </c:pt>
              </c:strCache>
            </c:strRef>
          </c:tx>
          <c:dLbls>
            <c:showVal val="0"/>
            <c:showCatName val="0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1"/>
              <c:pt idx="0">
                <c:v>SD</c:v>
              </c:pt>
            </c:strLit>
          </c:cat>
          <c:val>
            <c:numLit>
              <c:ptCount val="10"/>
              <c:pt idx="0">
                <c:v>1.53632487</c:v>
              </c:pt>
              <c:pt idx="1">
                <c:v>1.53632487</c:v>
              </c:pt>
              <c:pt idx="2">
                <c:v>1.53632487</c:v>
              </c:pt>
              <c:pt idx="3">
                <c:v>1.53632487</c:v>
              </c:pt>
              <c:pt idx="4">
                <c:v>1.53632487</c:v>
              </c:pt>
              <c:pt idx="5">
                <c:v>1.53632487</c:v>
              </c:pt>
              <c:pt idx="6">
                <c:v>1.53632487</c:v>
              </c:pt>
              <c:pt idx="7">
                <c:v>1.53632487</c:v>
              </c:pt>
              <c:pt idx="8">
                <c:v>1.53632487</c:v>
              </c:pt>
              <c:pt idx="9">
                <c:v>1.53632487</c:v>
              </c:pt>
            </c:numLit>
          </c:val>
        </c:ser>
        <c:ser>
          <c:idx val="4"/>
          <c:order val="4"/>
          <c:tx>
            <c:strRef>
              <c:strCache>
                <c:ptCount val="1"/>
                <c:pt idx="0">
                  <c:v>+2SD</c:v>
                </c:pt>
              </c:strCache>
            </c:strRef>
          </c:tx>
          <c:dLbls>
            <c:showVal val="0"/>
            <c:showCatName val="0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1"/>
              <c:pt idx="0">
                <c:v>+2SD</c:v>
              </c:pt>
            </c:strLit>
          </c:cat>
          <c:val>
            <c:numLit>
              <c:ptCount val="10"/>
              <c:pt idx="0">
                <c:v>17.19029681</c:v>
              </c:pt>
              <c:pt idx="1">
                <c:v>17.19029681</c:v>
              </c:pt>
              <c:pt idx="2">
                <c:v>17.19029681</c:v>
              </c:pt>
              <c:pt idx="3">
                <c:v>17.19029681</c:v>
              </c:pt>
              <c:pt idx="4">
                <c:v>17.19029681</c:v>
              </c:pt>
              <c:pt idx="5">
                <c:v>17.19029681</c:v>
              </c:pt>
              <c:pt idx="6">
                <c:v>17.19029681</c:v>
              </c:pt>
              <c:pt idx="7">
                <c:v>17.19029681</c:v>
              </c:pt>
              <c:pt idx="8">
                <c:v>17.19029681</c:v>
              </c:pt>
              <c:pt idx="9">
                <c:v>17.19029681</c:v>
              </c:pt>
            </c:numLit>
          </c:val>
        </c:ser>
        <c:ser>
          <c:idx val="5"/>
          <c:order val="5"/>
          <c:tx>
            <c:strRef>
              <c:strCache>
                <c:ptCount val="1"/>
                <c:pt idx="0">
                  <c:v>+3SD</c:v>
                </c:pt>
              </c:strCache>
            </c:strRef>
          </c:tx>
          <c:dLbls>
            <c:showVal val="0"/>
            <c:showCatName val="0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1"/>
              <c:pt idx="0">
                <c:v>+3SD</c:v>
              </c:pt>
            </c:strLit>
          </c:cat>
          <c:val>
            <c:numLit>
              <c:ptCount val="10"/>
              <c:pt idx="0">
                <c:v>18.72662168</c:v>
              </c:pt>
              <c:pt idx="1">
                <c:v>18.72662168</c:v>
              </c:pt>
              <c:pt idx="2">
                <c:v>18.72662168</c:v>
              </c:pt>
              <c:pt idx="3">
                <c:v>18.72662168</c:v>
              </c:pt>
              <c:pt idx="4">
                <c:v>18.72662168</c:v>
              </c:pt>
              <c:pt idx="5">
                <c:v>18.72662168</c:v>
              </c:pt>
              <c:pt idx="6">
                <c:v>18.72662168</c:v>
              </c:pt>
              <c:pt idx="7">
                <c:v>18.72662168</c:v>
              </c:pt>
              <c:pt idx="8">
                <c:v>18.72662168</c:v>
              </c:pt>
              <c:pt idx="9">
                <c:v>18.72662168</c:v>
              </c:pt>
            </c:numLit>
          </c:val>
        </c:ser>
        <c:ser>
          <c:idx val="6"/>
          <c:order val="6"/>
          <c:tx>
            <c:strRef>
              <c:strCache>
                <c:ptCount val="1"/>
                <c:pt idx="0">
                  <c:v>-3SD</c:v>
                </c:pt>
              </c:strCache>
            </c:strRef>
          </c:tx>
          <c:dLbls>
            <c:showVal val="0"/>
            <c:showCatName val="0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1"/>
              <c:pt idx="0">
                <c:v>-3SD</c:v>
              </c:pt>
            </c:strLit>
          </c:cat>
          <c:val>
            <c:numLit>
              <c:ptCount val="10"/>
              <c:pt idx="0">
                <c:v>9.50867244</c:v>
              </c:pt>
              <c:pt idx="1">
                <c:v>9.50867244</c:v>
              </c:pt>
              <c:pt idx="2">
                <c:v>9.50867244</c:v>
              </c:pt>
              <c:pt idx="3">
                <c:v>9.50867244</c:v>
              </c:pt>
              <c:pt idx="4">
                <c:v>9.50867244</c:v>
              </c:pt>
              <c:pt idx="5">
                <c:v>9.50867244</c:v>
              </c:pt>
              <c:pt idx="6">
                <c:v>9.50867244</c:v>
              </c:pt>
              <c:pt idx="7">
                <c:v>9.50867244</c:v>
              </c:pt>
              <c:pt idx="8">
                <c:v>9.50867244</c:v>
              </c:pt>
              <c:pt idx="9">
                <c:v>9.50867244</c:v>
              </c:pt>
            </c:numLit>
          </c:val>
        </c:ser>
        <c:ser>
          <c:idx val="7"/>
          <c:order val="7"/>
          <c:tx>
            <c:strRef>
              <c:strCache>
                <c:ptCount val="1"/>
                <c:pt idx="0">
                  <c:v>-2SD</c:v>
                </c:pt>
              </c:strCache>
            </c:strRef>
          </c:tx>
          <c:dLbls>
            <c:showVal val="0"/>
            <c:showCatName val="0"/>
            <c:showLegendKey val="0"/>
            <c:showSerName val="0"/>
            <c:showPercent val="0"/>
            <c:showLeaderLines val="0"/>
            <c:showBubbleSize val="0"/>
          </c:dLbls>
          <c:cat>
            <c:strLit>
              <c:ptCount val="1"/>
              <c:pt idx="0">
                <c:v>-2SD</c:v>
              </c:pt>
            </c:strLit>
          </c:cat>
          <c:val>
            <c:numLit>
              <c:ptCount val="10"/>
              <c:pt idx="0">
                <c:v>11.04499731</c:v>
              </c:pt>
              <c:pt idx="1">
                <c:v>11.04499731</c:v>
              </c:pt>
              <c:pt idx="2">
                <c:v>11.04499731</c:v>
              </c:pt>
              <c:pt idx="3">
                <c:v>11.04499731</c:v>
              </c:pt>
              <c:pt idx="4">
                <c:v>11.04499731</c:v>
              </c:pt>
              <c:pt idx="5">
                <c:v>11.04499731</c:v>
              </c:pt>
              <c:pt idx="6">
                <c:v>11.04499731</c:v>
              </c:pt>
              <c:pt idx="7">
                <c:v>11.04499731</c:v>
              </c:pt>
              <c:pt idx="8">
                <c:v>11.04499731</c:v>
              </c:pt>
              <c:pt idx="9">
                <c:v>11.04499731</c:v>
              </c:pt>
            </c:numLit>
          </c:val>
        </c:ser>
        <c:overlap val="100"/>
        <c:axId val="1"/>
        <c:axId val="2"/>
      </c:lineChart>
      <c:catAx>
        <c:axId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Date</a:t>
                </a:r>
              </a:p>
            </c:rich>
          </c:tx>
          <c:overlay val="0"/>
        </c:title>
        <c:crossAx val="2"/>
        <c:auto val="1"/>
        <c:delete val="0"/>
        <c:majorTickMark val="none"/>
        <c:minorTickMark val="none"/>
        <c:tickLblPos val="low"/>
        <c:crosses val="autoZero"/>
        <c:majorGridlines/>
        <c:scaling>
          <c:orientation val="minMax"/>
        </c:scaling>
        <c:spPr>
          <a:ln>
            <a:solidFill/>
          </a:ln>
        </c:spPr>
      </c:catAx>
      <c:valAx>
        <c:axId val="2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volts</a:t>
                </a:r>
              </a:p>
            </c:rich>
          </c:tx>
          <c:overlay val="0"/>
        </c:title>
        <c:crossAx val="1"/>
        <c:auto val="1"/>
        <c:delete val="0"/>
        <c:majorTickMark val="none"/>
        <c:minorTickMark val="none"/>
        <c:tickLblPos val="nextTo"/>
        <c:crosses val="autoZero"/>
        <c:majorGridlines/>
        <c:scaling>
          <c:orientation val="minMax"/>
        </c:scaling>
        <c:spPr>
          <a:ln>
            <a:solidFill/>
          </a:ln>
        </c:spPr>
      </c:valAx>
    </c:plotArea>
  </c:chart>
  <c:spPr>
    <a:ln>
      <a:noFill/>
    </a:ln>
  </c:sp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2023-05-31T16:08:37+08:00</dcterms:created>
  <dcterms:modified xsi:type="dcterms:W3CDTF">2023-05-31T16:08:37+08:00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